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0" w:name="_GoBack"/>
      <w:bookmarkEnd w:id="0"/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514350" y="49530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9105900" cy="6705600"/>
                <wp:effectExtent l="0" t="0" r="19050" b="19050"/>
                <wp:wrapSquare wrapText="bothSides"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0" cy="670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1"/>
                              <w:ind w:left="113" w:right="113"/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  <w:t>HOME MORTGAGE DISCLOSURE ACT</w:t>
                            </w:r>
                          </w:p>
                          <w:p>
                            <w:pPr>
                              <w:pStyle w:val="Heading1"/>
                              <w:ind w:left="113" w:right="113"/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  <w:t>NOTICE</w:t>
                            </w:r>
                          </w:p>
                          <w:p>
                            <w:pPr>
                              <w:pStyle w:val="BodyText"/>
                              <w:spacing w:after="120"/>
                              <w:ind w:left="547" w:right="302"/>
                              <w:jc w:val="both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0"/>
                              <w:ind w:left="547" w:right="302"/>
                              <w:jc w:val="both"/>
                              <w:rPr>
                                <w:rFonts w:ascii="Arial" w:hAnsi="Arial" w:cs="Arial"/>
                                <w:i w:val="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i w:val="0"/>
                                <w:sz w:val="56"/>
                                <w:szCs w:val="56"/>
                              </w:rPr>
                              <w:t>The HMDA data about our residential mortgage lending are available online for review. The data show geographic distribution of loans and applications; ethnicity, race, sex, age, and income of applicants and borrowers; and information about loan approvals and denials. HMDA data for many other financial institutions are also available online. For more information, visit the Consumer Financial Protection Bureau's Web site (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i w:val="0"/>
                                  <w:sz w:val="56"/>
                                  <w:szCs w:val="56"/>
                                </w:rPr>
                                <w:t>www.consumerfinance.gov/hmda</w:t>
                              </w:r>
                            </w:hyperlink>
                            <w:r>
                              <w:rPr>
                                <w:i w:val="0"/>
                                <w:sz w:val="56"/>
                                <w:szCs w:val="56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0;margin-top:0;width:717pt;height:528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">
                <v:textbox>
                  <w:txbxContent>
                    <w:p>
                      <w:pPr>
                        <w:pStyle w:val="Heading1"/>
                        <w:ind w:left="113" w:right="113"/>
                        <w:rPr>
                          <w:rFonts w:ascii="Arial" w:hAnsi="Arial" w:cs="Arial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sz w:val="96"/>
                          <w:szCs w:val="96"/>
                        </w:rPr>
                        <w:t>HOME MORTGAGE DISCLOSURE ACT</w:t>
                      </w:r>
                    </w:p>
                    <w:p>
                      <w:pPr>
                        <w:pStyle w:val="Heading1"/>
                        <w:ind w:left="113" w:right="113"/>
                        <w:rPr>
                          <w:rFonts w:ascii="Arial" w:hAnsi="Arial" w:cs="Arial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sz w:val="96"/>
                          <w:szCs w:val="96"/>
                        </w:rPr>
                        <w:t>NOTICE</w:t>
                      </w:r>
                    </w:p>
                    <w:p>
                      <w:pPr>
                        <w:pStyle w:val="BodyText"/>
                        <w:spacing w:after="120"/>
                        <w:ind w:left="547" w:right="302"/>
                        <w:jc w:val="both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</w:p>
                    <w:p>
                      <w:pPr>
                        <w:pStyle w:val="BodyText"/>
                        <w:spacing w:before="0"/>
                        <w:ind w:left="547" w:right="302"/>
                        <w:jc w:val="both"/>
                        <w:rPr>
                          <w:rFonts w:ascii="Arial" w:hAnsi="Arial" w:cs="Arial"/>
                          <w:i w:val="0"/>
                          <w:sz w:val="56"/>
                          <w:szCs w:val="56"/>
                        </w:rPr>
                      </w:pPr>
                      <w:r>
                        <w:rPr>
                          <w:i w:val="0"/>
                          <w:sz w:val="56"/>
                          <w:szCs w:val="56"/>
                        </w:rPr>
                        <w:t>The HMDA data about our residential mortgage lending are available online for review. The data show geographic distribution of loans and applications; ethnicity, race, sex, age, and income of applicants and borrowers; and information about loan approvals and denials. HMDA data for many other financial institutions are also available online. For more information, visit the Consumer Financial Protection Bureau's Web site (</w:t>
                      </w:r>
                      <w:hyperlink r:id="rId8" w:history="1">
                        <w:r>
                          <w:rPr>
                            <w:rStyle w:val="Hyperlink"/>
                            <w:i w:val="0"/>
                            <w:sz w:val="56"/>
                            <w:szCs w:val="56"/>
                          </w:rPr>
                          <w:t>www.consumerfinance.gov/hmda</w:t>
                        </w:r>
                      </w:hyperlink>
                      <w:r>
                        <w:rPr>
                          <w:i w:val="0"/>
                          <w:sz w:val="56"/>
                          <w:szCs w:val="56"/>
                        </w:rPr>
                        <w:t>).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>
      <w:endnotePr>
        <w:numFmt w:val="decimal"/>
      </w:endnotePr>
      <w:pgSz w:w="15840" w:h="12240" w:orient="landscape" w:code="1"/>
      <w:pgMar w:top="1152" w:right="360" w:bottom="1440" w:left="360" w:header="36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mirrorMargin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>
      <o:colormenu v:ext="edit" fill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spacing w:before="180"/>
      <w:jc w:val="center"/>
      <w:outlineLvl w:val="0"/>
    </w:pPr>
    <w:rPr>
      <w:rFonts w:ascii="Times New Roman" w:hAnsi="Times New Roman"/>
      <w:b/>
      <w:bCs/>
      <w:noProof/>
      <w:snapToGrid/>
      <w:color w:val="000000"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widowControl/>
      <w:spacing w:before="180"/>
    </w:pPr>
    <w:rPr>
      <w:rFonts w:ascii="Times New Roman" w:hAnsi="Times New Roman"/>
      <w:bCs/>
      <w:i/>
      <w:iCs/>
      <w:noProof/>
      <w:snapToGrid/>
      <w:color w:val="000000"/>
      <w:sz w:val="20"/>
    </w:rPr>
  </w:style>
  <w:style w:type="table" w:styleId="TableGrid">
    <w:name w:val="Table Grid"/>
    <w:basedOn w:val="TableNormal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spacing w:before="180"/>
      <w:jc w:val="center"/>
      <w:outlineLvl w:val="0"/>
    </w:pPr>
    <w:rPr>
      <w:rFonts w:ascii="Times New Roman" w:hAnsi="Times New Roman"/>
      <w:b/>
      <w:bCs/>
      <w:noProof/>
      <w:snapToGrid/>
      <w:color w:val="000000"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widowControl/>
      <w:spacing w:before="180"/>
    </w:pPr>
    <w:rPr>
      <w:rFonts w:ascii="Times New Roman" w:hAnsi="Times New Roman"/>
      <w:bCs/>
      <w:i/>
      <w:iCs/>
      <w:noProof/>
      <w:snapToGrid/>
      <w:color w:val="000000"/>
      <w:sz w:val="20"/>
    </w:rPr>
  </w:style>
  <w:style w:type="table" w:styleId="TableGrid">
    <w:name w:val="Table Grid"/>
    <w:basedOn w:val="TableNormal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merfinance.gov/data-research/hmd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merfinance.gov/data-research/hmd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ramstack.WCUL\Application%20Data\Microsoft\Templates\PDFMa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PDFMaker.dot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'97</vt:lpstr>
    </vt:vector>
  </TitlesOfParts>
  <Company>WCUL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'97</dc:title>
  <cp:lastModifiedBy>Jeff Bonk</cp:lastModifiedBy>
  <cp:revision>3</cp:revision>
  <cp:lastPrinted>2003-12-19T15:10:00Z</cp:lastPrinted>
  <dcterms:created xsi:type="dcterms:W3CDTF">2017-11-17T19:35:00Z</dcterms:created>
  <dcterms:modified xsi:type="dcterms:W3CDTF">2017-11-17T19:39:00Z</dcterms:modified>
</cp:coreProperties>
</file>